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CCE47">
      <w:r>
        <w:rPr>
          <w:rFonts w:hint="eastAsia"/>
        </w:rPr>
        <w:t>本课程在国家级一流课、省级一流课的基础上，突出重点内容，关注时事热点，聚焦教学重点难点问题，以学生的现实需要为导向，讲好中国故事，传播好中国声音。以马克思主义理论的魅力去感染学生，把理论知识转化为学生行动的指南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E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2025-09-01T01:35:19Z</dcterms:created>
  <dc:creator>Lenovo</dc:creator>
  <cp:lastModifiedBy>企业用户_319297683</cp:lastModifiedBy>
  <dcterms:modified xsi:type="dcterms:W3CDTF">2025-09-01T01:35:34Z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eyJoZGlkIjoiZjE2MDkzMWVmNmVmMDlhOWNhYWRiZGEzY2E0ZWQ2YjEiLCJ1c2VySWQiOiIxNTUxODYwMjM5In0=</vt:lpwstr>
  </property>
  <property fmtid="{D5CDD505-2E9C-101B-9397-08002B2CF9AE}" pid="4" name="ICV">
    <vt:lpwstr>6CC8740D10354076BBEE9C20636DFBD9_12</vt:lpwstr>
  </property>
</Properties>
</file>